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Meeting Minutes</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w:t>
      </w:r>
      <w:r w:rsidDel="00000000" w:rsidR="00000000" w:rsidRPr="00000000">
        <w:rPr>
          <w:rFonts w:ascii="Calibri" w:cs="Calibri" w:eastAsia="Calibri" w:hAnsi="Calibri"/>
          <w:b w:val="1"/>
          <w:sz w:val="22"/>
          <w:szCs w:val="22"/>
          <w:rtl w:val="0"/>
        </w:rPr>
        <w:t xml:space="preserve">February</w:t>
      </w:r>
      <w:r w:rsidDel="00000000" w:rsidR="00000000" w:rsidRPr="00000000">
        <w:rPr>
          <w:rFonts w:ascii="Calibri" w:cs="Calibri" w:eastAsia="Calibri" w:hAnsi="Calibri"/>
          <w:b w:val="1"/>
          <w:color w:val="000000"/>
          <w:sz w:val="22"/>
          <w:szCs w:val="22"/>
          <w:rtl w:val="0"/>
        </w:rPr>
        <w:t xml:space="preserve"> 1</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color w:val="000000"/>
          <w:sz w:val="22"/>
          <w:szCs w:val="22"/>
          <w:rtl w:val="0"/>
        </w:rPr>
        <w:t xml:space="preserve">, 2025</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Barry D. Walston, (virtual) Marie Allen-Campbell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Excused Absence: Thomas Mueller, Vinay Pai, Izabella Martin</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b w:val="1"/>
          <w:color w:val="000000"/>
          <w:sz w:val="21"/>
          <w:szCs w:val="21"/>
          <w:rtl w:val="0"/>
        </w:rPr>
        <w:t xml:space="preserve">GTH Staff:</w:t>
      </w:r>
      <w:r w:rsidDel="00000000" w:rsidR="00000000" w:rsidRPr="00000000">
        <w:rPr>
          <w:rFonts w:ascii="Calibri" w:cs="Calibri" w:eastAsia="Calibri" w:hAnsi="Calibri"/>
          <w:color w:val="000000"/>
          <w:sz w:val="21"/>
          <w:szCs w:val="21"/>
          <w:rtl w:val="0"/>
        </w:rPr>
        <w:t xml:space="preserve"> Tanya Ford, Dr. Andrea Lowe, Dr. Kimberly Davis, Lyndell Randle, Stephanie Forysth</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meeting was </w:t>
      </w:r>
      <w:r w:rsidDel="00000000" w:rsidR="00000000" w:rsidRPr="00000000">
        <w:rPr>
          <w:rFonts w:ascii="Calibri" w:cs="Calibri" w:eastAsia="Calibri" w:hAnsi="Calibri"/>
          <w:sz w:val="21"/>
          <w:szCs w:val="21"/>
          <w:rtl w:val="0"/>
        </w:rPr>
        <w:t xml:space="preserve">opened</w:t>
      </w:r>
      <w:r w:rsidDel="00000000" w:rsidR="00000000" w:rsidRPr="00000000">
        <w:rPr>
          <w:rFonts w:ascii="Calibri" w:cs="Calibri" w:eastAsia="Calibri" w:hAnsi="Calibri"/>
          <w:color w:val="000000"/>
          <w:sz w:val="21"/>
          <w:szCs w:val="21"/>
          <w:rtl w:val="0"/>
        </w:rPr>
        <w:t xml:space="preserve"> at 5:30 pm by the Board Chair, Dona Bulluck.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One of our board members had a car accident on the way to the meeting and we lost our quorum.</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Motion: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None</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Finance Report</w:t>
      </w:r>
      <w:r w:rsidDel="00000000" w:rsidR="00000000" w:rsidRPr="00000000">
        <w:rPr>
          <w:rFonts w:ascii="Calibri" w:cs="Calibri" w:eastAsia="Calibri" w:hAnsi="Calibri"/>
          <w:color w:val="000000"/>
          <w:sz w:val="21"/>
          <w:szCs w:val="21"/>
          <w:rtl w:val="0"/>
        </w:rPr>
        <w:t xml:space="preserve"> – submitted by Paul Augello Jr. CEO and Co-Founder of BoostEd Finance.</w:t>
      </w:r>
      <w:r w:rsidDel="00000000" w:rsidR="00000000" w:rsidRPr="00000000">
        <w:rPr>
          <w:rFonts w:ascii="Calibri" w:cs="Calibri" w:eastAsia="Calibri" w:hAnsi="Calibri"/>
          <w:sz w:val="21"/>
          <w:szCs w:val="21"/>
          <w:rtl w:val="0"/>
        </w:rPr>
        <w:t xml:space="preserve"> Reviewed by the Board</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 submitted by Andrea Lowe, presented and reviewed by the Board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Stephanie Forsyth informed the board that our scholars will be on Channel 6 News, this episode will air at the end of February or the beginning of March. This will cover their involvement in the Lincoln Park Project.</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Ms. Forsyth said that she is working with teachers for the regent prep, data review, teacher observations and working on professional development. A few teachers have been put on improvement plans.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Dona Bulluck asked how many teachers there are on an improvement plan.</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There were two teachers identified, one spanish teacher and one science teacher. Both have been addressed and have  already started  making progress.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informed the board that on February 5, 2025, SAGE hosted a dinner, there were around 75 attendees, 20 of which were teachers.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let the board know that this year we have the biggest graduating class at Green Tech with 59 seniors. Twenty - four of our seniors needed to pass the regents. After two weeks of study with Varsity Tutoring, we are down to 16 seniors that need to pass the regents.  Mr. Hines, one of our teachers, is willing to help prep students for algebra. Mr. Hines works very well with the students.</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This group of seniors seem to be more introverted with higher grade levels. They seem much more serious about their academics.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did let the board know that Mr. Randle has done a great job getting good partnerships for our boys to work with.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Adjournment</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sz w:val="21"/>
          <w:szCs w:val="21"/>
          <w:rtl w:val="0"/>
        </w:rPr>
        <w:t xml:space="preserve">At 7: 15 pm</w:t>
      </w:r>
      <w:r w:rsidDel="00000000" w:rsidR="00000000" w:rsidRPr="00000000">
        <w:rPr>
          <w:rFonts w:ascii="Calibri" w:cs="Calibri" w:eastAsia="Calibri" w:hAnsi="Calibri"/>
          <w:color w:val="000000"/>
          <w:sz w:val="21"/>
          <w:szCs w:val="21"/>
          <w:rtl w:val="0"/>
        </w:rPr>
        <w:t xml:space="preserve">, our Board Chair, Dona Bulluck adjourned the meeting.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hpprZ5UBPeBy4IIkGaV8/hELQ==">CgMxLjA4AHIhMWVoczZYRVR2Z1dOZjJKcjhEQjJzbTYxdkp0ZnR1STB6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2025-01-07T19:33:00Z</dcterms:created>
  <dc:creator>Tanya Otieno-Ford</dc:creator>
</cp:coreProperties>
</file>